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44"/>
      </w:tblGrid>
      <w:tr w:rsidR="00D11FF4" w14:paraId="09D03316" w14:textId="77777777" w:rsidTr="002D382E">
        <w:trPr>
          <w:trHeight w:val="57"/>
        </w:trPr>
        <w:tc>
          <w:tcPr>
            <w:tcW w:w="8744" w:type="dxa"/>
            <w:shd w:val="clear" w:color="auto" w:fill="000000"/>
          </w:tcPr>
          <w:p w14:paraId="2361D05A" w14:textId="77777777" w:rsidR="00D11FF4" w:rsidRDefault="00D11FF4" w:rsidP="002D382E">
            <w:pPr>
              <w:ind w:left="0" w:hanging="2"/>
              <w:jc w:val="center"/>
              <w:rPr>
                <w:color w:val="FFFFFF"/>
                <w:sz w:val="18"/>
                <w:szCs w:val="18"/>
              </w:rPr>
            </w:pPr>
            <w:r>
              <w:rPr>
                <w:b/>
                <w:color w:val="FFFFFF"/>
                <w:sz w:val="18"/>
                <w:szCs w:val="18"/>
              </w:rPr>
              <w:t xml:space="preserve">Tender Notice (Tender No. </w:t>
            </w:r>
            <w:r w:rsidRPr="0012193B">
              <w:rPr>
                <w:b/>
                <w:color w:val="FFFFFF"/>
                <w:sz w:val="18"/>
                <w:szCs w:val="18"/>
              </w:rPr>
              <w:t>AIDLab-01-2023</w:t>
            </w:r>
            <w:r>
              <w:rPr>
                <w:b/>
                <w:color w:val="FFFFFF"/>
                <w:sz w:val="18"/>
                <w:szCs w:val="18"/>
              </w:rPr>
              <w:t>)</w:t>
            </w:r>
          </w:p>
          <w:p w14:paraId="7A82DFCA" w14:textId="77777777" w:rsidR="00D11FF4" w:rsidRDefault="00D11FF4" w:rsidP="002D382E">
            <w:pPr>
              <w:ind w:left="0" w:hanging="2"/>
              <w:jc w:val="center"/>
              <w:rPr>
                <w:sz w:val="18"/>
                <w:szCs w:val="18"/>
              </w:rPr>
            </w:pPr>
            <w:r>
              <w:rPr>
                <w:b/>
                <w:color w:val="FFFFFF"/>
                <w:sz w:val="18"/>
                <w:szCs w:val="18"/>
              </w:rPr>
              <w:t xml:space="preserve"> </w:t>
            </w:r>
          </w:p>
        </w:tc>
      </w:tr>
      <w:tr w:rsidR="00D11FF4" w14:paraId="4FD38E72" w14:textId="77777777" w:rsidTr="002D382E">
        <w:trPr>
          <w:trHeight w:val="5423"/>
        </w:trPr>
        <w:tc>
          <w:tcPr>
            <w:tcW w:w="8744" w:type="dxa"/>
          </w:tcPr>
          <w:p w14:paraId="13447949" w14:textId="77777777" w:rsidR="00D11FF4" w:rsidRDefault="00D11FF4" w:rsidP="002D382E">
            <w:pPr>
              <w:ind w:left="0" w:hanging="2"/>
              <w:jc w:val="center"/>
              <w:rPr>
                <w:sz w:val="16"/>
                <w:szCs w:val="16"/>
              </w:rPr>
            </w:pPr>
          </w:p>
          <w:p w14:paraId="44ED9207" w14:textId="77777777" w:rsidR="00D11FF4" w:rsidRDefault="00D11FF4" w:rsidP="002D382E">
            <w:pPr>
              <w:ind w:left="0" w:hanging="2"/>
              <w:jc w:val="center"/>
              <w:rPr>
                <w:sz w:val="16"/>
                <w:szCs w:val="16"/>
              </w:rPr>
            </w:pPr>
            <w:r>
              <w:rPr>
                <w:sz w:val="16"/>
                <w:szCs w:val="16"/>
              </w:rPr>
              <w:t>FAST-NATIONAL UNIVERSITY OF COMPUTER &amp; EMERGING SCIENCES, ISLAMABAD invites sealed bids under</w:t>
            </w:r>
            <w:r w:rsidRPr="0012193B">
              <w:rPr>
                <w:b/>
                <w:color w:val="FFFFFF"/>
                <w:sz w:val="18"/>
                <w:szCs w:val="18"/>
              </w:rPr>
              <w:t xml:space="preserve"> </w:t>
            </w:r>
            <w:r w:rsidRPr="0012193B">
              <w:rPr>
                <w:b/>
                <w:sz w:val="16"/>
                <w:szCs w:val="16"/>
              </w:rPr>
              <w:t>Tender No. AIDLab-01-2023</w:t>
            </w:r>
            <w:r>
              <w:rPr>
                <w:sz w:val="16"/>
                <w:szCs w:val="16"/>
              </w:rPr>
              <w:t xml:space="preserve"> from the original manufacturers / authorized distributors (With Valid Authorization/ Distribution Certificate) / well reputed firms registered with Income Tax and Sales Tax Departments and who are on Active Taxpayers List of the Federal Board of Revenue for the purchase and installation of following IT equipment</w:t>
            </w:r>
            <w:r>
              <w:rPr>
                <w:b/>
                <w:sz w:val="16"/>
                <w:szCs w:val="16"/>
              </w:rPr>
              <w:t>.</w:t>
            </w:r>
          </w:p>
          <w:p w14:paraId="6907EC55" w14:textId="77777777" w:rsidR="00D11FF4" w:rsidRDefault="00D11FF4" w:rsidP="002D382E">
            <w:pPr>
              <w:ind w:left="0" w:hanging="2"/>
              <w:jc w:val="center"/>
              <w:rPr>
                <w:sz w:val="16"/>
                <w:szCs w:val="16"/>
              </w:rPr>
            </w:pPr>
          </w:p>
          <w:tbl>
            <w:tblPr>
              <w:tblW w:w="8114" w:type="dxa"/>
              <w:tblInd w:w="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7"/>
              <w:gridCol w:w="6282"/>
              <w:gridCol w:w="1055"/>
            </w:tblGrid>
            <w:tr w:rsidR="00D11FF4" w14:paraId="18DC6EA7" w14:textId="77777777" w:rsidTr="002D382E">
              <w:trPr>
                <w:trHeight w:val="27"/>
              </w:trPr>
              <w:tc>
                <w:tcPr>
                  <w:tcW w:w="777" w:type="dxa"/>
                </w:tcPr>
                <w:p w14:paraId="70027841" w14:textId="77777777" w:rsidR="00D11FF4" w:rsidRDefault="00D11FF4" w:rsidP="002D382E">
                  <w:pPr>
                    <w:ind w:left="0" w:hanging="2"/>
                    <w:jc w:val="center"/>
                    <w:rPr>
                      <w:sz w:val="18"/>
                      <w:szCs w:val="18"/>
                    </w:rPr>
                  </w:pPr>
                  <w:r>
                    <w:rPr>
                      <w:b/>
                      <w:sz w:val="18"/>
                      <w:szCs w:val="18"/>
                    </w:rPr>
                    <w:t>Sr. #</w:t>
                  </w:r>
                </w:p>
              </w:tc>
              <w:tc>
                <w:tcPr>
                  <w:tcW w:w="6282" w:type="dxa"/>
                </w:tcPr>
                <w:p w14:paraId="29CC4DBA" w14:textId="77777777" w:rsidR="00D11FF4" w:rsidRDefault="00D11FF4" w:rsidP="002D382E">
                  <w:pPr>
                    <w:ind w:left="0" w:hanging="2"/>
                    <w:jc w:val="center"/>
                    <w:rPr>
                      <w:sz w:val="18"/>
                      <w:szCs w:val="18"/>
                    </w:rPr>
                  </w:pPr>
                  <w:r>
                    <w:rPr>
                      <w:b/>
                      <w:sz w:val="18"/>
                      <w:szCs w:val="18"/>
                    </w:rPr>
                    <w:t>Item Name</w:t>
                  </w:r>
                </w:p>
              </w:tc>
              <w:tc>
                <w:tcPr>
                  <w:tcW w:w="1055" w:type="dxa"/>
                </w:tcPr>
                <w:p w14:paraId="1DCE92A4" w14:textId="77777777" w:rsidR="00D11FF4" w:rsidRDefault="00D11FF4" w:rsidP="002D382E">
                  <w:pPr>
                    <w:ind w:left="0" w:hanging="2"/>
                    <w:jc w:val="center"/>
                    <w:rPr>
                      <w:sz w:val="18"/>
                      <w:szCs w:val="18"/>
                    </w:rPr>
                  </w:pPr>
                  <w:r>
                    <w:rPr>
                      <w:b/>
                      <w:sz w:val="18"/>
                      <w:szCs w:val="18"/>
                    </w:rPr>
                    <w:t>Qty.</w:t>
                  </w:r>
                </w:p>
              </w:tc>
            </w:tr>
            <w:tr w:rsidR="00D11FF4" w14:paraId="43BB6BE2" w14:textId="77777777" w:rsidTr="002D382E">
              <w:trPr>
                <w:trHeight w:val="275"/>
              </w:trPr>
              <w:tc>
                <w:tcPr>
                  <w:tcW w:w="777" w:type="dxa"/>
                </w:tcPr>
                <w:p w14:paraId="5B8DC4AC" w14:textId="77777777" w:rsidR="00D11FF4" w:rsidRDefault="00D11FF4" w:rsidP="002D382E">
                  <w:pPr>
                    <w:ind w:left="0" w:hanging="2"/>
                    <w:jc w:val="center"/>
                    <w:rPr>
                      <w:sz w:val="18"/>
                      <w:szCs w:val="18"/>
                    </w:rPr>
                  </w:pPr>
                  <w:r>
                    <w:rPr>
                      <w:sz w:val="18"/>
                      <w:szCs w:val="18"/>
                    </w:rPr>
                    <w:t>1</w:t>
                  </w:r>
                </w:p>
              </w:tc>
              <w:tc>
                <w:tcPr>
                  <w:tcW w:w="6282" w:type="dxa"/>
                </w:tcPr>
                <w:p w14:paraId="68BEE9AD" w14:textId="77777777" w:rsidR="00D11FF4" w:rsidRDefault="00D11FF4" w:rsidP="002D382E">
                  <w:pPr>
                    <w:ind w:left="0" w:hanging="2"/>
                    <w:jc w:val="center"/>
                    <w:rPr>
                      <w:color w:val="000000"/>
                      <w:sz w:val="18"/>
                      <w:szCs w:val="18"/>
                    </w:rPr>
                  </w:pPr>
                  <w:r>
                    <w:rPr>
                      <w:b/>
                      <w:sz w:val="18"/>
                      <w:szCs w:val="18"/>
                    </w:rPr>
                    <w:t>GPU Workstation including LED</w:t>
                  </w:r>
                </w:p>
              </w:tc>
              <w:tc>
                <w:tcPr>
                  <w:tcW w:w="1055" w:type="dxa"/>
                </w:tcPr>
                <w:p w14:paraId="7F1780F6" w14:textId="77777777" w:rsidR="00D11FF4" w:rsidRDefault="00D11FF4" w:rsidP="002D382E">
                  <w:pPr>
                    <w:ind w:left="0" w:hanging="2"/>
                    <w:jc w:val="center"/>
                    <w:rPr>
                      <w:sz w:val="16"/>
                      <w:szCs w:val="16"/>
                    </w:rPr>
                  </w:pPr>
                  <w:r>
                    <w:rPr>
                      <w:sz w:val="16"/>
                      <w:szCs w:val="16"/>
                    </w:rPr>
                    <w:t>1</w:t>
                  </w:r>
                </w:p>
              </w:tc>
            </w:tr>
            <w:tr w:rsidR="00D11FF4" w14:paraId="72CAC0C6" w14:textId="77777777" w:rsidTr="002D382E">
              <w:trPr>
                <w:trHeight w:val="276"/>
              </w:trPr>
              <w:tc>
                <w:tcPr>
                  <w:tcW w:w="777" w:type="dxa"/>
                </w:tcPr>
                <w:p w14:paraId="0826832A" w14:textId="77777777" w:rsidR="00D11FF4" w:rsidRDefault="00D11FF4" w:rsidP="002D382E">
                  <w:pPr>
                    <w:ind w:left="0" w:hanging="2"/>
                    <w:jc w:val="center"/>
                    <w:rPr>
                      <w:sz w:val="18"/>
                      <w:szCs w:val="18"/>
                    </w:rPr>
                  </w:pPr>
                  <w:r>
                    <w:rPr>
                      <w:sz w:val="18"/>
                      <w:szCs w:val="18"/>
                    </w:rPr>
                    <w:t>2</w:t>
                  </w:r>
                </w:p>
              </w:tc>
              <w:tc>
                <w:tcPr>
                  <w:tcW w:w="6282" w:type="dxa"/>
                </w:tcPr>
                <w:p w14:paraId="48828F5D" w14:textId="77777777" w:rsidR="00D11FF4" w:rsidRDefault="00D11FF4" w:rsidP="002D382E">
                  <w:pPr>
                    <w:ind w:left="0" w:hanging="2"/>
                    <w:jc w:val="center"/>
                    <w:rPr>
                      <w:sz w:val="18"/>
                      <w:szCs w:val="18"/>
                    </w:rPr>
                  </w:pPr>
                  <w:r>
                    <w:rPr>
                      <w:b/>
                      <w:sz w:val="18"/>
                      <w:szCs w:val="18"/>
                    </w:rPr>
                    <w:t>Laptop</w:t>
                  </w:r>
                </w:p>
              </w:tc>
              <w:tc>
                <w:tcPr>
                  <w:tcW w:w="1055" w:type="dxa"/>
                </w:tcPr>
                <w:p w14:paraId="53C2C9F6" w14:textId="77777777" w:rsidR="00D11FF4" w:rsidRDefault="00D11FF4" w:rsidP="002D382E">
                  <w:pPr>
                    <w:ind w:left="0" w:hanging="2"/>
                    <w:jc w:val="center"/>
                    <w:rPr>
                      <w:sz w:val="16"/>
                      <w:szCs w:val="16"/>
                    </w:rPr>
                  </w:pPr>
                  <w:r>
                    <w:rPr>
                      <w:sz w:val="16"/>
                      <w:szCs w:val="16"/>
                    </w:rPr>
                    <w:t>1</w:t>
                  </w:r>
                </w:p>
              </w:tc>
            </w:tr>
            <w:tr w:rsidR="00D11FF4" w14:paraId="054B045F" w14:textId="77777777" w:rsidTr="002D382E">
              <w:trPr>
                <w:trHeight w:val="276"/>
              </w:trPr>
              <w:tc>
                <w:tcPr>
                  <w:tcW w:w="777" w:type="dxa"/>
                </w:tcPr>
                <w:p w14:paraId="67526709" w14:textId="77777777" w:rsidR="00D11FF4" w:rsidRDefault="00D11FF4" w:rsidP="002D382E">
                  <w:pPr>
                    <w:ind w:left="0" w:hanging="2"/>
                    <w:jc w:val="center"/>
                    <w:rPr>
                      <w:sz w:val="18"/>
                      <w:szCs w:val="18"/>
                    </w:rPr>
                  </w:pPr>
                  <w:r>
                    <w:rPr>
                      <w:sz w:val="18"/>
                      <w:szCs w:val="18"/>
                    </w:rPr>
                    <w:t>3</w:t>
                  </w:r>
                </w:p>
              </w:tc>
              <w:tc>
                <w:tcPr>
                  <w:tcW w:w="6282" w:type="dxa"/>
                </w:tcPr>
                <w:p w14:paraId="5F47AEE4" w14:textId="77777777" w:rsidR="00D11FF4" w:rsidRDefault="00D11FF4" w:rsidP="002D382E">
                  <w:pPr>
                    <w:ind w:left="0" w:hanging="2"/>
                    <w:jc w:val="center"/>
                    <w:rPr>
                      <w:sz w:val="18"/>
                      <w:szCs w:val="18"/>
                    </w:rPr>
                  </w:pPr>
                  <w:proofErr w:type="spellStart"/>
                  <w:r>
                    <w:rPr>
                      <w:b/>
                      <w:sz w:val="18"/>
                      <w:szCs w:val="18"/>
                    </w:rPr>
                    <w:t>Terastation</w:t>
                  </w:r>
                  <w:proofErr w:type="spellEnd"/>
                </w:p>
              </w:tc>
              <w:tc>
                <w:tcPr>
                  <w:tcW w:w="1055" w:type="dxa"/>
                </w:tcPr>
                <w:p w14:paraId="5C0D4CE0" w14:textId="77777777" w:rsidR="00D11FF4" w:rsidRDefault="00D11FF4" w:rsidP="002D382E">
                  <w:pPr>
                    <w:ind w:left="0" w:hanging="2"/>
                    <w:jc w:val="center"/>
                    <w:rPr>
                      <w:sz w:val="16"/>
                      <w:szCs w:val="16"/>
                    </w:rPr>
                  </w:pPr>
                  <w:r>
                    <w:rPr>
                      <w:sz w:val="16"/>
                      <w:szCs w:val="16"/>
                    </w:rPr>
                    <w:t>1</w:t>
                  </w:r>
                </w:p>
              </w:tc>
            </w:tr>
          </w:tbl>
          <w:p w14:paraId="29F35F92" w14:textId="77777777" w:rsidR="00D11FF4" w:rsidRDefault="00D11FF4" w:rsidP="002D382E">
            <w:pPr>
              <w:ind w:left="0" w:hanging="2"/>
              <w:jc w:val="both"/>
              <w:rPr>
                <w:sz w:val="16"/>
                <w:szCs w:val="16"/>
              </w:rPr>
            </w:pPr>
          </w:p>
          <w:p w14:paraId="78A61A36" w14:textId="77777777" w:rsidR="00D11FF4" w:rsidRDefault="00D11FF4" w:rsidP="002D382E">
            <w:pPr>
              <w:ind w:left="0" w:hanging="2"/>
              <w:jc w:val="both"/>
              <w:rPr>
                <w:sz w:val="16"/>
                <w:szCs w:val="16"/>
              </w:rPr>
            </w:pPr>
            <w:r>
              <w:rPr>
                <w:sz w:val="16"/>
                <w:szCs w:val="16"/>
              </w:rPr>
              <w:t>1. Bidding shall be carried out by “</w:t>
            </w:r>
            <w:r>
              <w:rPr>
                <w:b/>
                <w:color w:val="000000"/>
                <w:sz w:val="16"/>
                <w:szCs w:val="16"/>
              </w:rPr>
              <w:t>Single Stage Two Envelope</w:t>
            </w:r>
            <w:r>
              <w:rPr>
                <w:sz w:val="16"/>
                <w:szCs w:val="16"/>
              </w:rPr>
              <w:t xml:space="preserve">” procedure. Bidding documents, containing detailed terms and conditions, etc. are available with the Purchase Office. Tender notice can also be downloaded from </w:t>
            </w:r>
            <w:hyperlink r:id="rId4">
              <w:r>
                <w:rPr>
                  <w:sz w:val="16"/>
                  <w:szCs w:val="16"/>
                </w:rPr>
                <w:t>www.isb.nu.edu.pk</w:t>
              </w:r>
            </w:hyperlink>
            <w:r>
              <w:rPr>
                <w:sz w:val="16"/>
                <w:szCs w:val="16"/>
              </w:rPr>
              <w:t xml:space="preserve">/Media/Procurement. Interested firms/bidders are required to submit their bid proposals along with a tender fee of </w:t>
            </w:r>
            <w:r>
              <w:rPr>
                <w:b/>
                <w:sz w:val="16"/>
                <w:szCs w:val="16"/>
              </w:rPr>
              <w:t>Rs. 1,000</w:t>
            </w:r>
            <w:r>
              <w:rPr>
                <w:sz w:val="16"/>
                <w:szCs w:val="16"/>
              </w:rPr>
              <w:t xml:space="preserve">-(Non-refundable) in shape of Pay Order/Bank Draft in favor of </w:t>
            </w:r>
            <w:r w:rsidRPr="00C748A7">
              <w:rPr>
                <w:b/>
                <w:bCs/>
                <w:sz w:val="16"/>
                <w:szCs w:val="16"/>
              </w:rPr>
              <w:t>NATIONAL UNIVERSITY OF COMPUTER AND EMERGING SCIENCES - VIRTUAL BIOPSY BRAIN</w:t>
            </w:r>
            <w:r>
              <w:rPr>
                <w:sz w:val="16"/>
                <w:szCs w:val="16"/>
              </w:rPr>
              <w:t xml:space="preserve">. </w:t>
            </w:r>
          </w:p>
          <w:p w14:paraId="17486FF9" w14:textId="77777777" w:rsidR="00D11FF4" w:rsidRDefault="00D11FF4" w:rsidP="002D382E">
            <w:pPr>
              <w:ind w:left="0" w:hanging="2"/>
              <w:jc w:val="both"/>
              <w:rPr>
                <w:sz w:val="16"/>
                <w:szCs w:val="16"/>
              </w:rPr>
            </w:pPr>
          </w:p>
          <w:p w14:paraId="50FC5BBA" w14:textId="77777777" w:rsidR="00D11FF4" w:rsidRDefault="00D11FF4" w:rsidP="002D382E">
            <w:pPr>
              <w:ind w:left="0" w:hanging="2"/>
              <w:rPr>
                <w:sz w:val="16"/>
                <w:szCs w:val="16"/>
              </w:rPr>
            </w:pPr>
            <w:r>
              <w:rPr>
                <w:sz w:val="16"/>
                <w:szCs w:val="16"/>
              </w:rPr>
              <w:t xml:space="preserve">2. The Bids having separate sealed envelopes clearly marked as Technical and Financial Bid, prepared in accordance with the instructions in the bidding documents, must reach to the Purchase Office at address given below latest by </w:t>
            </w:r>
            <w:r w:rsidRPr="004747BC">
              <w:rPr>
                <w:sz w:val="16"/>
                <w:szCs w:val="16"/>
              </w:rPr>
              <w:t xml:space="preserve">17-04-2023 at 1100 </w:t>
            </w:r>
            <w:r w:rsidRPr="002531B7">
              <w:rPr>
                <w:sz w:val="16"/>
                <w:szCs w:val="16"/>
              </w:rPr>
              <w:t>h</w:t>
            </w:r>
            <w:r>
              <w:rPr>
                <w:sz w:val="16"/>
                <w:szCs w:val="16"/>
              </w:rPr>
              <w:t>ours</w:t>
            </w:r>
            <w:r w:rsidRPr="002531B7">
              <w:rPr>
                <w:sz w:val="16"/>
                <w:szCs w:val="16"/>
              </w:rPr>
              <w:t xml:space="preserve"> </w:t>
            </w:r>
            <w:r>
              <w:rPr>
                <w:sz w:val="16"/>
                <w:szCs w:val="16"/>
              </w:rPr>
              <w:t xml:space="preserve">(closing time). Technical Bids will be opened on the same day at </w:t>
            </w:r>
            <w:r w:rsidRPr="004747BC">
              <w:rPr>
                <w:sz w:val="16"/>
                <w:szCs w:val="16"/>
              </w:rPr>
              <w:t>1130 h</w:t>
            </w:r>
            <w:r>
              <w:rPr>
                <w:sz w:val="16"/>
                <w:szCs w:val="16"/>
              </w:rPr>
              <w:t>ou</w:t>
            </w:r>
            <w:r w:rsidRPr="004747BC">
              <w:rPr>
                <w:sz w:val="16"/>
                <w:szCs w:val="16"/>
              </w:rPr>
              <w:t xml:space="preserve">rs </w:t>
            </w:r>
            <w:r>
              <w:rPr>
                <w:sz w:val="16"/>
                <w:szCs w:val="16"/>
              </w:rPr>
              <w:t>in the presence of the bidders/their representatives who may like to attend the opening ceremony. Second Envelope containing “Financial Bid” of technically qualified bidder(s) will be opened later, the date of which will be communicated after evaluation of the Technical Bids.</w:t>
            </w:r>
          </w:p>
          <w:p w14:paraId="7C57D837" w14:textId="77777777" w:rsidR="00D11FF4" w:rsidRDefault="00D11FF4" w:rsidP="002D382E">
            <w:pPr>
              <w:ind w:left="0" w:hanging="2"/>
              <w:jc w:val="both"/>
              <w:rPr>
                <w:sz w:val="16"/>
                <w:szCs w:val="16"/>
              </w:rPr>
            </w:pPr>
          </w:p>
          <w:p w14:paraId="510EBA87" w14:textId="77777777" w:rsidR="00D11FF4" w:rsidRDefault="00D11FF4" w:rsidP="002D382E">
            <w:pPr>
              <w:ind w:left="0" w:hanging="2"/>
              <w:jc w:val="both"/>
              <w:rPr>
                <w:sz w:val="16"/>
                <w:szCs w:val="16"/>
              </w:rPr>
            </w:pPr>
            <w:r>
              <w:rPr>
                <w:sz w:val="16"/>
                <w:szCs w:val="16"/>
              </w:rPr>
              <w:t xml:space="preserve">3. This advertisement including the bid document is available on websites of PPRA and NUCES </w:t>
            </w:r>
            <w:hyperlink r:id="rId5">
              <w:r>
                <w:rPr>
                  <w:color w:val="0000FF"/>
                  <w:sz w:val="16"/>
                  <w:szCs w:val="16"/>
                  <w:u w:val="single"/>
                </w:rPr>
                <w:t>http://www.pra.gov.pk</w:t>
              </w:r>
            </w:hyperlink>
            <w:r>
              <w:rPr>
                <w:sz w:val="16"/>
                <w:szCs w:val="16"/>
              </w:rPr>
              <w:t xml:space="preserve"> &amp;  </w:t>
            </w:r>
            <w:hyperlink r:id="rId6">
              <w:r>
                <w:rPr>
                  <w:color w:val="0000FF"/>
                  <w:sz w:val="16"/>
                  <w:szCs w:val="16"/>
                  <w:u w:val="single"/>
                </w:rPr>
                <w:t>http://isb.nu.edu.pk/Media/Procurement</w:t>
              </w:r>
            </w:hyperlink>
            <w:r>
              <w:rPr>
                <w:color w:val="0000FF"/>
                <w:sz w:val="16"/>
                <w:szCs w:val="16"/>
                <w:u w:val="single"/>
              </w:rPr>
              <w:t xml:space="preserve"> </w:t>
            </w:r>
            <w:r>
              <w:rPr>
                <w:sz w:val="16"/>
                <w:szCs w:val="16"/>
              </w:rPr>
              <w:t>respectively.</w:t>
            </w:r>
          </w:p>
          <w:p w14:paraId="3D16B352" w14:textId="77777777" w:rsidR="00D11FF4" w:rsidRDefault="00D11FF4" w:rsidP="002D382E">
            <w:pPr>
              <w:ind w:left="0" w:hanging="2"/>
              <w:jc w:val="both"/>
              <w:rPr>
                <w:sz w:val="16"/>
                <w:szCs w:val="16"/>
              </w:rPr>
            </w:pPr>
          </w:p>
          <w:p w14:paraId="2AEA284F" w14:textId="77777777" w:rsidR="00D11FF4" w:rsidRDefault="00D11FF4" w:rsidP="002D382E">
            <w:pPr>
              <w:ind w:left="0" w:hanging="2"/>
              <w:jc w:val="both"/>
              <w:rPr>
                <w:sz w:val="16"/>
                <w:szCs w:val="16"/>
              </w:rPr>
            </w:pPr>
            <w:r>
              <w:rPr>
                <w:sz w:val="16"/>
                <w:szCs w:val="16"/>
              </w:rPr>
              <w:t>4. FAST-NATIONAL UNIVERSITY OF COMPUTER &amp; EMERGING SCIENCES, ISLAMABAD reserves the right to accept or reject any/all bid(s) in terms of Section-33 of Public Procurement Rules 2004.</w:t>
            </w:r>
          </w:p>
          <w:p w14:paraId="7419182B" w14:textId="77777777" w:rsidR="00D11FF4" w:rsidRDefault="00D11FF4" w:rsidP="002D382E">
            <w:pPr>
              <w:ind w:left="0" w:hanging="2"/>
              <w:jc w:val="both"/>
              <w:rPr>
                <w:sz w:val="16"/>
                <w:szCs w:val="16"/>
              </w:rPr>
            </w:pPr>
          </w:p>
          <w:p w14:paraId="01C10FAD" w14:textId="77777777" w:rsidR="00D11FF4" w:rsidRDefault="00D11FF4" w:rsidP="002D382E">
            <w:pPr>
              <w:ind w:left="0" w:hanging="2"/>
              <w:jc w:val="both"/>
              <w:rPr>
                <w:sz w:val="16"/>
                <w:szCs w:val="16"/>
              </w:rPr>
            </w:pPr>
            <w:r>
              <w:rPr>
                <w:sz w:val="16"/>
                <w:szCs w:val="16"/>
              </w:rPr>
              <w:t xml:space="preserve">5. </w:t>
            </w:r>
            <w:r w:rsidRPr="00932E22">
              <w:rPr>
                <w:sz w:val="16"/>
                <w:szCs w:val="16"/>
              </w:rPr>
              <w:t>Taxes will be deducted as per government rules</w:t>
            </w:r>
            <w:r>
              <w:rPr>
                <w:sz w:val="16"/>
                <w:szCs w:val="16"/>
              </w:rPr>
              <w:t>.</w:t>
            </w:r>
          </w:p>
          <w:p w14:paraId="6683229B" w14:textId="77777777" w:rsidR="00D11FF4" w:rsidRDefault="00D11FF4" w:rsidP="002D382E">
            <w:pPr>
              <w:ind w:left="0" w:hanging="2"/>
              <w:jc w:val="both"/>
              <w:rPr>
                <w:sz w:val="16"/>
                <w:szCs w:val="16"/>
              </w:rPr>
            </w:pPr>
          </w:p>
        </w:tc>
      </w:tr>
      <w:tr w:rsidR="00D11FF4" w14:paraId="67503970" w14:textId="77777777" w:rsidTr="002D382E">
        <w:trPr>
          <w:trHeight w:val="109"/>
        </w:trPr>
        <w:tc>
          <w:tcPr>
            <w:tcW w:w="8744" w:type="dxa"/>
            <w:shd w:val="clear" w:color="auto" w:fill="000000"/>
          </w:tcPr>
          <w:p w14:paraId="020C78BF" w14:textId="77777777" w:rsidR="00D11FF4" w:rsidRDefault="00D11FF4" w:rsidP="002D382E">
            <w:pPr>
              <w:jc w:val="center"/>
              <w:rPr>
                <w:color w:val="FFFFFF"/>
                <w:sz w:val="14"/>
                <w:szCs w:val="14"/>
              </w:rPr>
            </w:pPr>
            <w:r>
              <w:rPr>
                <w:b/>
                <w:color w:val="FFFFFF"/>
                <w:sz w:val="14"/>
                <w:szCs w:val="14"/>
              </w:rPr>
              <w:t>Purchase Officer</w:t>
            </w:r>
          </w:p>
          <w:p w14:paraId="3380D5E2" w14:textId="77777777" w:rsidR="00D11FF4" w:rsidRDefault="00D11FF4" w:rsidP="002D382E">
            <w:pPr>
              <w:jc w:val="center"/>
              <w:rPr>
                <w:color w:val="FFFFFF"/>
                <w:sz w:val="14"/>
                <w:szCs w:val="14"/>
              </w:rPr>
            </w:pPr>
            <w:r>
              <w:rPr>
                <w:b/>
                <w:color w:val="FFFFFF"/>
                <w:sz w:val="14"/>
                <w:szCs w:val="14"/>
              </w:rPr>
              <w:t xml:space="preserve">National University of Computer and Emerging Sciences, A.K. </w:t>
            </w:r>
            <w:proofErr w:type="spellStart"/>
            <w:r>
              <w:rPr>
                <w:b/>
                <w:color w:val="FFFFFF"/>
                <w:sz w:val="14"/>
                <w:szCs w:val="14"/>
              </w:rPr>
              <w:t>Brohi</w:t>
            </w:r>
            <w:proofErr w:type="spellEnd"/>
            <w:r>
              <w:rPr>
                <w:b/>
                <w:color w:val="FFFFFF"/>
                <w:sz w:val="14"/>
                <w:szCs w:val="14"/>
              </w:rPr>
              <w:t xml:space="preserve"> Road, H-11/4, Islamabad, Pakistan  </w:t>
            </w:r>
          </w:p>
          <w:p w14:paraId="709A162B" w14:textId="77777777" w:rsidR="00D11FF4" w:rsidRDefault="00D11FF4" w:rsidP="002D382E">
            <w:pPr>
              <w:jc w:val="center"/>
              <w:rPr>
                <w:color w:val="FFFFFF"/>
                <w:sz w:val="14"/>
                <w:szCs w:val="14"/>
              </w:rPr>
            </w:pPr>
            <w:r>
              <w:rPr>
                <w:b/>
                <w:color w:val="FFFFFF"/>
                <w:sz w:val="14"/>
                <w:szCs w:val="14"/>
              </w:rPr>
              <w:t xml:space="preserve">(Email: </w:t>
            </w:r>
            <w:r w:rsidRPr="00897085">
              <w:rPr>
                <w:b/>
                <w:color w:val="FFFFFF"/>
                <w:sz w:val="14"/>
                <w:szCs w:val="14"/>
              </w:rPr>
              <w:t>muhammad.waqas@nu.edu.pk</w:t>
            </w:r>
            <w:r>
              <w:rPr>
                <w:b/>
                <w:color w:val="FFFFFF"/>
                <w:sz w:val="14"/>
                <w:szCs w:val="14"/>
              </w:rPr>
              <w:t>)</w:t>
            </w:r>
          </w:p>
          <w:p w14:paraId="62516302" w14:textId="77777777" w:rsidR="00D11FF4" w:rsidRDefault="00D11FF4" w:rsidP="002D382E">
            <w:pPr>
              <w:jc w:val="center"/>
              <w:rPr>
                <w:color w:val="FFFFFF"/>
                <w:sz w:val="14"/>
                <w:szCs w:val="14"/>
                <w:u w:val="single"/>
              </w:rPr>
            </w:pPr>
            <w:r>
              <w:rPr>
                <w:b/>
                <w:color w:val="FFFFFF"/>
                <w:sz w:val="14"/>
                <w:szCs w:val="14"/>
              </w:rPr>
              <w:t>For Technical Queries: ahmadraza.shahid@nu.edu.pk</w:t>
            </w:r>
          </w:p>
        </w:tc>
      </w:tr>
    </w:tbl>
    <w:p w14:paraId="1CB1FD85" w14:textId="77777777" w:rsidR="002363B3" w:rsidRDefault="002363B3">
      <w:pPr>
        <w:ind w:left="0" w:hanging="2"/>
      </w:pPr>
    </w:p>
    <w:sectPr w:rsidR="002363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FF4"/>
    <w:rsid w:val="002363B3"/>
    <w:rsid w:val="00D11F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1903"/>
  <w15:chartTrackingRefBased/>
  <w15:docId w15:val="{8F423522-64FA-4383-AA61-D9B2055BC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FF4"/>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sb.nu.edu.pk/Media/Procurement." TargetMode="External"/><Relationship Id="rId5" Type="http://schemas.openxmlformats.org/officeDocument/2006/relationships/hyperlink" Target="http://www.pra.gov.pk" TargetMode="External"/><Relationship Id="rId4" Type="http://schemas.openxmlformats.org/officeDocument/2006/relationships/hyperlink" Target="http://www.nu.edu.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363</Words>
  <Characters>2073</Characters>
  <Application>Microsoft Office Word</Application>
  <DocSecurity>0</DocSecurity>
  <Lines>17</Lines>
  <Paragraphs>4</Paragraphs>
  <ScaleCrop>false</ScaleCrop>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Ahmad Raza Shahid</dc:creator>
  <cp:keywords/>
  <dc:description/>
  <cp:lastModifiedBy>Dr Ahmad Raza Shahid</cp:lastModifiedBy>
  <cp:revision>1</cp:revision>
  <dcterms:created xsi:type="dcterms:W3CDTF">2023-03-22T09:40:00Z</dcterms:created>
  <dcterms:modified xsi:type="dcterms:W3CDTF">2023-03-22T09:42:00Z</dcterms:modified>
</cp:coreProperties>
</file>